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36"/>
          <w:szCs w:val="36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6"/>
          <w:szCs w:val="36"/>
          <w:rtl w:val="0"/>
        </w:rPr>
        <w:t xml:space="preserve">新房 - 信息资料模板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015.0" w:type="dxa"/>
        <w:jc w:val="left"/>
        <w:tblInd w:w="170.07874015748033" w:type="pct"/>
        <w:tblLayout w:type="fixed"/>
        <w:tblLook w:val="0600"/>
      </w:tblPr>
      <w:tblGrid>
        <w:gridCol w:w="2865"/>
        <w:gridCol w:w="6150"/>
        <w:tblGridChange w:id="0">
          <w:tblGrid>
            <w:gridCol w:w="2865"/>
            <w:gridCol w:w="6150"/>
          </w:tblGrid>
        </w:tblGridChange>
      </w:tblGrid>
      <w:tr>
        <w:trPr>
          <w:trHeight w:val="480" w:hRule="atLeast"/>
        </w:trPr>
        <w:tc>
          <w:tcPr>
            <w:tcBorders>
              <w:top w:color="b7b7b7" w:space="0" w:sz="8" w:val="single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楼盘名称</w:t>
            </w:r>
          </w:p>
        </w:tc>
        <w:tc>
          <w:tcPr>
            <w:tcBorders>
              <w:top w:color="b7b7b7" w:space="0" w:sz="8" w:val="single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开发商名称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地址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填写物业地址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交叉路口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格式：Kennedy Rd / Steeles Ave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城市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填写城市名称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社区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填写社区名称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房屋类型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公寓 / 镇屋 / 半独立屋 / 独立屋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楼层数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单位数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面积区间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格式：655 - 945 sq ft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层高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格式：10 ft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价格区间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格式：$327,000 - $449,700</w:t>
            </w:r>
          </w:p>
        </w:tc>
      </w:tr>
      <w:tr>
        <w:trPr>
          <w:trHeight w:val="184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Deposit Structure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$20,000 with Offer, </w:t>
            </w:r>
          </w:p>
          <w:p w:rsidR="00000000" w:rsidDel="00000000" w:rsidP="00000000" w:rsidRDefault="00000000" w:rsidRPr="00000000" w14:paraId="0000001D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Balance to 5% in 30 Days, 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 in 90 Days,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 in 120 Days,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5% on Occupancy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车位价格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格式：$1234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储藏间价格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格式：$1234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管理费（月）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 $23 / sq ft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销售状态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Registration / Insider / VVIP / VIP / Public Sale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开盘时间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格式：2018年10月</w:t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预计竣工时间（交房时间）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格式：2021年2月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项目设计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Building Design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室内设计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Interior Design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b7b7b7" w:space="0" w:sz="8" w:val="single"/>
              <w:bottom w:color="b7b7b7" w:space="0" w:sz="8" w:val="single"/>
              <w:right w:color="b7b7b7" w:space="0" w:sz="8" w:val="single"/>
            </w:tcBorders>
            <w:shd w:fill="f3f3f3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rtl w:val="0"/>
              </w:rPr>
              <w:t xml:space="preserve">建筑商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7b7b7" w:space="0" w:sz="8" w:val="single"/>
              <w:right w:color="b7b7b7" w:space="0" w:sz="8" w:val="single"/>
            </w:tcBorders>
            <w:shd w:fill="ffffff" w:val="clear"/>
            <w:tcMar>
              <w:top w:w="170.07874015748033" w:type="dxa"/>
              <w:left w:w="170.07874015748033" w:type="dxa"/>
              <w:bottom w:w="170.07874015748033" w:type="dxa"/>
              <w:right w:w="170.07874015748033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Builder</w:t>
            </w:r>
          </w:p>
        </w:tc>
      </w:tr>
    </w:tbl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简介：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楼盘特点：</w:t>
      </w:r>
    </w:p>
    <w:p w:rsidR="00000000" w:rsidDel="00000000" w:rsidP="00000000" w:rsidRDefault="00000000" w:rsidRPr="00000000" w14:paraId="0000003B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楼内设施：</w:t>
      </w:r>
    </w:p>
    <w:p w:rsidR="00000000" w:rsidDel="00000000" w:rsidP="00000000" w:rsidRDefault="00000000" w:rsidRPr="00000000" w14:paraId="0000004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3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室内装修：</w:t>
      </w:r>
    </w:p>
    <w:p w:rsidR="00000000" w:rsidDel="00000000" w:rsidP="00000000" w:rsidRDefault="00000000" w:rsidRPr="00000000" w14:paraId="00000044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7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周边设施：</w:t>
      </w:r>
    </w:p>
    <w:p w:rsidR="00000000" w:rsidDel="00000000" w:rsidP="00000000" w:rsidRDefault="00000000" w:rsidRPr="00000000" w14:paraId="0000004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4B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交通：</w:t>
      </w:r>
    </w:p>
    <w:p w:rsidR="00000000" w:rsidDel="00000000" w:rsidP="00000000" w:rsidRDefault="00000000" w:rsidRPr="00000000" w14:paraId="0000004C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效果图，户型图：</w:t>
      </w:r>
    </w:p>
    <w:p w:rsidR="00000000" w:rsidDel="00000000" w:rsidP="00000000" w:rsidRDefault="00000000" w:rsidRPr="00000000" w14:paraId="0000005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图片请与本文档一起作为邮件附件发送至: support@51agents.com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宽度大于720像素，保证清晰度，图片内不能含有与相应楼盘、开发商不相关的LOGO水印等。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_C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ced7e7" w:val="clear"/>
    </w:tc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